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F7" w:rsidRPr="00D567F7" w:rsidRDefault="00D567F7" w:rsidP="00D567F7">
      <w:pPr>
        <w:pStyle w:val="ConsPlusTitlePage"/>
        <w:contextualSpacing/>
      </w:pPr>
    </w:p>
    <w:p w:rsidR="00D567F7" w:rsidRPr="00D567F7" w:rsidRDefault="00D567F7" w:rsidP="00D567F7">
      <w:pPr>
        <w:pStyle w:val="ConsPlusNormal"/>
        <w:contextualSpacing/>
        <w:jc w:val="both"/>
        <w:outlineLvl w:val="0"/>
      </w:pPr>
    </w:p>
    <w:p w:rsidR="00D567F7" w:rsidRPr="00D567F7" w:rsidRDefault="00D567F7" w:rsidP="00D567F7">
      <w:pPr>
        <w:pStyle w:val="ConsPlusTitle"/>
        <w:contextualSpacing/>
        <w:jc w:val="center"/>
        <w:outlineLvl w:val="0"/>
      </w:pPr>
      <w:r w:rsidRPr="00D567F7">
        <w:t>ПРАВИТЕЛЬСТВО РОССИЙСКОЙ ФЕДЕРАЦИИ</w:t>
      </w:r>
    </w:p>
    <w:p w:rsidR="00D567F7" w:rsidRPr="00D567F7" w:rsidRDefault="00D567F7" w:rsidP="00D567F7">
      <w:pPr>
        <w:pStyle w:val="ConsPlusTitle"/>
        <w:contextualSpacing/>
        <w:jc w:val="center"/>
      </w:pP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РАСПОРЯЖЕНИЕ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от 18 июля 2024 г. N 1899-р</w:t>
      </w: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  <w:r w:rsidRPr="00D567F7">
        <w:t>1. В соответствии с частью 1 статьи 111 Федерального закона "О контрактной системе в сфере закупок товаров, работ, услуг для обеспечения государственных и муниципальных нужд" и подпунктом "а" пункта 2 постановления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осуществления":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 xml:space="preserve">а) утвердить перечень единственных исполнителей осуществляемой </w:t>
      </w:r>
      <w:proofErr w:type="spellStart"/>
      <w:r w:rsidRPr="00D567F7">
        <w:t>Минпромторгом</w:t>
      </w:r>
      <w:proofErr w:type="spellEnd"/>
      <w:r w:rsidRPr="00D567F7">
        <w:t xml:space="preserve"> России в 2024 году закупки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должностными лицами субъектов Российской Федерации и (или) высшими исполнительными органами субъектов Российской Федерации на получение указанных школьных автобусов, согласно </w:t>
      </w:r>
      <w:proofErr w:type="gramStart"/>
      <w:r w:rsidRPr="00D567F7">
        <w:t>приложению</w:t>
      </w:r>
      <w:proofErr w:type="gramEnd"/>
      <w:r w:rsidRPr="00D567F7">
        <w:t xml:space="preserve"> N 1;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 xml:space="preserve">б) </w:t>
      </w:r>
      <w:proofErr w:type="spellStart"/>
      <w:r w:rsidRPr="00D567F7">
        <w:t>Минпромторгу</w:t>
      </w:r>
      <w:proofErr w:type="spellEnd"/>
      <w:r w:rsidRPr="00D567F7">
        <w:t xml:space="preserve"> России заключить государственные контракты на поставку школьных автобусов российского производства (далее - школьные автобусы), а также на оказание услуг по их доставке до конечных потребителей в субъектах Российской Федерации, уполномоченных высшими должностными лицами субъектов Российской Федерации и (или) высшими исполнительными органами субъектов Российской Федерации на получение школьных автобусов (далее - уполномоченные получатели в субъектах Российской Федерации), с единственными исполнителями, предусмотренными приложением N 1 к настоящему распоряжению (далее соответственно - единственные исполнители, государственные контракты), предусмотрев следующие существенные условия: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 xml:space="preserve">осуществление производства школьных автобусов организацией, в капитале которой отсутствует участие иностранных лиц, связанных с иностранными государствами, совершающими в отношении российских юридических лиц и физических лиц недружественные действия, и которая является стороной специального инвестиционного контракта в сфере производства транспортных средств, заключенного с </w:t>
      </w:r>
      <w:proofErr w:type="spellStart"/>
      <w:r w:rsidRPr="00D567F7">
        <w:t>Минпромторгом</w:t>
      </w:r>
      <w:proofErr w:type="spellEnd"/>
      <w:r w:rsidRPr="00D567F7">
        <w:t xml:space="preserve"> России в соответствии с Правилами заключения специальных инвестиционных контрактов, утвержденными постановлением Правительства Российской Федерации от 16 июля 2015 г. N 708 "О специальных инвестиционных контрактах для отдельных отраслей промышленности", или наличие у такой организации заключения о подтверждении производства промышленной продукции на территории Российской Федерации, выданного в соответствии с Правилами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Федерации", на указанную технику;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осуществление единственными исполнителями поставки школьных автобусов, а также их доставки до уполномоченных получателей в субъектах Российской Федерации в соответствии с соглашениями, заключаемыми в соответствии с подпунктом "в" настоящего пункта;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обязательство единственных исполнителей осуществить поставку школьных автобусов, а также оказать услуги по их доставке до уполномоченных получателей в субъектах Российской Федерации с возможностью привлечения субподрядчиков, соисполнителей и с установлением при этом объема лично выполняемых единственными исполнителями обязательств в размере не менее 30 процентов совокупного стоимостного объема обязательств по государственному контракту;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 xml:space="preserve">осуществление </w:t>
      </w:r>
      <w:proofErr w:type="spellStart"/>
      <w:r w:rsidRPr="00D567F7">
        <w:t>Минпромторгом</w:t>
      </w:r>
      <w:proofErr w:type="spellEnd"/>
      <w:r w:rsidRPr="00D567F7">
        <w:t xml:space="preserve"> России оплаты поставок школьных автобусов, а также услуг по их доставке до уполномоченных получателей в субъектах Российской Федерации;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 xml:space="preserve">предоставление единственными исполнителями гарантий на школьные автобусы и срок </w:t>
      </w:r>
      <w:r w:rsidRPr="00D567F7">
        <w:lastRenderedPageBreak/>
        <w:t>действия таких гарантий (не менее 3 лет);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перечень субъектов Российской Федерации и объем поставки школьных автобусов в соответствии с распределением школьных автобусов между субъектами Российской Федерации в 2024 году согласно приложению N 2;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предельный срок, на который заключаются государственные контракты, - 31 декабря 2024 г.;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bookmarkStart w:id="0" w:name="P16"/>
      <w:bookmarkEnd w:id="0"/>
      <w:r w:rsidRPr="00D567F7">
        <w:t xml:space="preserve">в) </w:t>
      </w:r>
      <w:proofErr w:type="spellStart"/>
      <w:r w:rsidRPr="00D567F7">
        <w:t>Минпромторгу</w:t>
      </w:r>
      <w:proofErr w:type="spellEnd"/>
      <w:r w:rsidRPr="00D567F7">
        <w:t xml:space="preserve"> России заключить соглашения на поставку, а также на оказание услуг по доставке школьных автобусов с высшими исполнительными органами субъектов Российской Федерации, единственными исполнителями и уполномоченными получателями в субъектах Российской Федерации в соответствии с распределением школьных автобусов между субъектами Российской Федерации в 2024 году, предусмотренным приложением N 2 к настоящему распоряжению, предусмотрев в них следующие существенные условия: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осуществление единственными исполнителями поставки школьных автобусов, а также их доставки до уполномоченных получателей в субъектах Российской Федерации;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порядок поставки, а также оказания услуг по доставке школьных автобусов единственными исполнителями;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порядок осуществления уполномоченными получателями в субъектах Российской Федерации приемки школьных автобусов;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возникновение права собственности субъектов Российской Федерации на школьные автобусы с момента их передачи на основании актов приема-передачи, подписанных единственными исполнителями и уполномоченными получателями в субъектах Российской Федерации;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ответственность сторон за нарушение своих обязательств.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2. Рекомендовать высшим исполнительным органам субъектов Российской Федерации: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 xml:space="preserve">а) представить в </w:t>
      </w:r>
      <w:proofErr w:type="spellStart"/>
      <w:r w:rsidRPr="00D567F7">
        <w:t>Минпромторг</w:t>
      </w:r>
      <w:proofErr w:type="spellEnd"/>
      <w:r w:rsidRPr="00D567F7">
        <w:t xml:space="preserve"> России в течение 7 дней со дня вступления в силу настоящего распоряжения информацию об уполномоченных получателях в субъектах Российской Федерации и копии соответствующих актов высших должностных лиц субъектов Российской Федерации, актов высших исполнительных органов субъектов Российской Федерации;</w:t>
      </w:r>
    </w:p>
    <w:p w:rsidR="00D567F7" w:rsidRPr="00D567F7" w:rsidRDefault="00D567F7" w:rsidP="00D567F7">
      <w:pPr>
        <w:pStyle w:val="ConsPlusNormal"/>
        <w:spacing w:before="220"/>
        <w:ind w:firstLine="540"/>
        <w:contextualSpacing/>
        <w:jc w:val="both"/>
      </w:pPr>
      <w:r w:rsidRPr="00D567F7">
        <w:t>б) обеспечить регистрацию и учет школьных автобусов,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Председатель Правительства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Российской Федерации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М.МИШУСТИН</w:t>
      </w: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contextualSpacing/>
        <w:jc w:val="right"/>
        <w:outlineLvl w:val="0"/>
      </w:pPr>
      <w:r w:rsidRPr="00D567F7">
        <w:t>Приложение N 1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к распоряжению Правительства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Российской Федерации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от 18 июля 2024 г. N 1899-р</w:t>
      </w: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Title"/>
        <w:contextualSpacing/>
        <w:jc w:val="center"/>
      </w:pPr>
      <w:bookmarkStart w:id="1" w:name="P39"/>
      <w:bookmarkEnd w:id="1"/>
      <w:r w:rsidRPr="00D567F7">
        <w:t>ПЕРЕЧЕНЬ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ЕДИНСТВЕННЫХ ИСПОЛНИТЕЛЕЙ ОСУЩЕСТВЛЯЕМОЙ МИНПРОМТОРГОМ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РОССИИ В 2024 ГОДУ ЗАКУПКИ ШКОЛЬНЫХ АВТОБУСОВ РОССИЙСКОГО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ПРОИЗВОДСТВА, А ТАКЖЕ УСЛУГ ПО ИХ ДОСТАВКЕ ДО КОНЕЧНЫХ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ПОТРЕБИТЕЛЕЙ В СУБЪЕКТАХ РОССИЙСКОЙ ФЕДЕРАЦИИ,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УПОЛНОМОЧЕННЫХ ВЫСШИМИ ДОЛЖНОСТНЫМИ ЛИЦАМИ СУБЪЕКТОВ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РОССИЙСКОЙ ФЕДЕРАЦИИ И (ИЛИ) ВЫСШИМИ ИСПОЛНИТЕЛЬНЫМИ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ОРГАНАМИ СУБЪЕКТОВ РОССИЙСКОЙ ФЕДЕРАЦИИ НА ПОЛУЧЕНИЕ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УКАЗАННЫХ ШКОЛЬНЫХ АВТОБУСОВ</w:t>
      </w:r>
    </w:p>
    <w:p w:rsidR="00D567F7" w:rsidRPr="00D567F7" w:rsidRDefault="00D567F7" w:rsidP="00D567F7">
      <w:pPr>
        <w:pStyle w:val="ConsPlusNormal"/>
        <w:contextualSpacing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1700"/>
        <w:gridCol w:w="4533"/>
      </w:tblGrid>
      <w:tr w:rsidR="00D567F7" w:rsidRPr="00D567F7"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lastRenderedPageBreak/>
              <w:t>Наименование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Вместимость школьных автобусов (человек)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Тип привода, полная масса, исполнение</w:t>
            </w:r>
          </w:p>
        </w:tc>
      </w:tr>
      <w:tr w:rsidR="00D567F7" w:rsidRPr="00D567F7">
        <w:tblPrEx>
          <w:tblBorders>
            <w:insideV w:val="none" w:sz="0" w:space="0" w:color="auto"/>
          </w:tblBorders>
        </w:tblPrEx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Общество с ограниченной ответственностью "Автомобильный завод "НАЗ"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10 - 12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полный привод, стандартное исполнение</w:t>
            </w:r>
          </w:p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полный привод, северное исполнение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13 - 20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стандартное исполнение</w:t>
            </w:r>
          </w:p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северное исполнение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21 - 24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both"/>
            </w:pPr>
            <w:r w:rsidRPr="00D567F7">
              <w:t>задний привод, полной массой менее 4,5 тонны, стандартное исполнение</w:t>
            </w:r>
          </w:p>
          <w:p w:rsidR="00D567F7" w:rsidRPr="00D567F7" w:rsidRDefault="00D567F7" w:rsidP="00D567F7">
            <w:pPr>
              <w:pStyle w:val="ConsPlusNormal"/>
              <w:contextualSpacing/>
              <w:jc w:val="both"/>
            </w:pPr>
            <w:r w:rsidRPr="00D567F7">
              <w:t>задний привод, полной массой менее 4,5 тонны, северное исполнение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13 - 20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полный привод, стандартное исполнение</w:t>
            </w:r>
          </w:p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полный привод, северное исполнение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Общество с ограниченной ответственностью "Павловский автобусный завод"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21 - 24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полной массой более 6 тонн, стандартное исполнение</w:t>
            </w:r>
          </w:p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полной массой более 6 тонн, северное исполнение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25 - 31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полной массой более 7,5 тонны, стандартное исполнение</w:t>
            </w:r>
          </w:p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полной массой более 7,5 тонны, северное исполнение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Общество с ограниченной ответственностью "КАВЗ"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более 31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полной массой менее 15 тонн, стандартное исполнение</w:t>
            </w:r>
          </w:p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задний привод, полной массой менее 15 тонн, северное исполнение</w:t>
            </w:r>
          </w:p>
        </w:tc>
      </w:tr>
    </w:tbl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contextualSpacing/>
        <w:jc w:val="right"/>
        <w:outlineLvl w:val="0"/>
      </w:pPr>
      <w:r w:rsidRPr="00D567F7">
        <w:t>Приложение N 2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к распоряжению Правительства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Российской Федерации</w:t>
      </w: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от 18 июля 2024 г. N 1899-р</w:t>
      </w: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Title"/>
        <w:contextualSpacing/>
        <w:jc w:val="center"/>
      </w:pPr>
      <w:bookmarkStart w:id="2" w:name="P87"/>
      <w:bookmarkEnd w:id="2"/>
      <w:r w:rsidRPr="00D567F7">
        <w:t>РАСПРЕДЕЛЕНИЕ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ШКОЛЬНЫХ АВТОБУСОВ РОССИЙСКОГО ПРОИЗВОДСТВА МЕЖДУ СУБЪЕКТАМИ</w:t>
      </w:r>
    </w:p>
    <w:p w:rsidR="00D567F7" w:rsidRPr="00D567F7" w:rsidRDefault="00D567F7" w:rsidP="00D567F7">
      <w:pPr>
        <w:pStyle w:val="ConsPlusTitle"/>
        <w:contextualSpacing/>
        <w:jc w:val="center"/>
      </w:pPr>
      <w:r w:rsidRPr="00D567F7">
        <w:t>РОССИЙСКОЙ ФЕДЕРАЦИИ В 2024 ГОДУ</w:t>
      </w:r>
    </w:p>
    <w:p w:rsidR="00D567F7" w:rsidRPr="00D567F7" w:rsidRDefault="00D567F7" w:rsidP="00D567F7">
      <w:pPr>
        <w:pStyle w:val="ConsPlusNormal"/>
        <w:ind w:firstLine="540"/>
        <w:contextualSpacing/>
        <w:jc w:val="both"/>
      </w:pPr>
    </w:p>
    <w:p w:rsidR="00D567F7" w:rsidRPr="00D567F7" w:rsidRDefault="00D567F7" w:rsidP="00D567F7">
      <w:pPr>
        <w:pStyle w:val="ConsPlusNormal"/>
        <w:contextualSpacing/>
        <w:jc w:val="right"/>
      </w:pPr>
      <w:r w:rsidRPr="00D567F7">
        <w:t>(штук)</w:t>
      </w:r>
    </w:p>
    <w:p w:rsidR="00D567F7" w:rsidRPr="00D567F7" w:rsidRDefault="00D567F7" w:rsidP="00D567F7">
      <w:pPr>
        <w:pStyle w:val="ConsPlusNormal"/>
        <w:contextualSpacing/>
        <w:sectPr w:rsidR="00D567F7" w:rsidRPr="00D567F7" w:rsidSect="00055F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67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7"/>
      </w:tblGrid>
      <w:tr w:rsidR="00D567F7" w:rsidRPr="00D567F7">
        <w:tc>
          <w:tcPr>
            <w:tcW w:w="29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lastRenderedPageBreak/>
              <w:t>Наименование субъекта Российской Федерации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Количество школьных автобусов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Вместимость 10 - 12 человек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Вместимость 13 - 20 человек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Вместимость 21 - 24 человека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Вместимость 25 - 31 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Вместимость более 31 человека</w:t>
            </w:r>
          </w:p>
        </w:tc>
      </w:tr>
      <w:tr w:rsidR="00D567F7" w:rsidRPr="00D567F7">
        <w:tblPrEx>
          <w:tblBorders>
            <w:left w:val="single" w:sz="4" w:space="0" w:color="auto"/>
          </w:tblBorders>
        </w:tblPrEx>
        <w:tc>
          <w:tcPr>
            <w:tcW w:w="29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</w:p>
        </w:tc>
        <w:tc>
          <w:tcPr>
            <w:tcW w:w="8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полный привод,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полный привод,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полный привод,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полный привод,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более 6 тонн,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более 6 тонн,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менее 4,5 тонны,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менее 4,5 тонны,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более 7,5 тонны,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более 7,5 тонны,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менее 15 тонн,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задний привод, полной массой менее 15 тонн, северное исполнение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Адыгея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Алтай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Башкортостан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Бурятия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Дагестан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Донецкая Народная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Ингушетия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 xml:space="preserve">Кабардино-Балкарская </w:t>
            </w:r>
            <w:r w:rsidRPr="00D567F7">
              <w:lastRenderedPageBreak/>
              <w:t>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lastRenderedPageBreak/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Калмыкия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Карачаево-Черкесская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Карелия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Коми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Крым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Луганская Народная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Марий Эл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Мордовия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Саха (Якутия)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Северная Осетия - Алания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Татарстан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Тыва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Удмуртская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Республика Хакасия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Чеченская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lastRenderedPageBreak/>
              <w:t>24.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Чувашская Республ</w:t>
            </w:r>
            <w:bookmarkStart w:id="3" w:name="_GoBack"/>
            <w:bookmarkEnd w:id="3"/>
            <w:r w:rsidRPr="00D567F7">
              <w:t>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Алтайский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Забайкальский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Камчатский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Краснодарский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Красноярский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Пермский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Приморский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Ставропольский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Хабаровский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Амурская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Архангельская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Астраханская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Белгородская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Брянская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Владимирская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Волгоградская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Вологодская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lastRenderedPageBreak/>
              <w:t>42.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Воронежская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Запорожская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Ивановская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Иркутская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Калининградская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Калужская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Кемеровская область - Кузбасс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Кировская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Костромская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Курганская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Курская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Ленинградская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Липецкая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Магаданская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Московская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Мурманская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Нижегородская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lastRenderedPageBreak/>
              <w:t>59.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Новгородская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Новосибирская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Омская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Оренбургская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Орловская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Пензенская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Псковская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Ростовская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Рязанская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Самарская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Саратовская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Сахалинская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Свердловская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Смоленская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Тамбовская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Тверская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Томская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Тульская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Тюменская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lastRenderedPageBreak/>
              <w:t>78.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Ульяновская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Херсонская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Челябинская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Ярославская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Город Москва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Город Санкт-Петербург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Город Севастополь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Еврейская автономная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Ненецкий автономный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Ханты-Мансийский автономный округ - Югра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Чукотский автономный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Ямало-Ненецкий автономный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</w:t>
            </w:r>
          </w:p>
        </w:tc>
      </w:tr>
      <w:tr w:rsidR="00D567F7" w:rsidRPr="00D567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</w:pPr>
            <w:r w:rsidRPr="00D567F7">
              <w:t>Итого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2654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497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389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459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123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7F7" w:rsidRPr="00D567F7" w:rsidRDefault="00D567F7" w:rsidP="00D567F7">
            <w:pPr>
              <w:pStyle w:val="ConsPlusNormal"/>
              <w:contextualSpacing/>
              <w:jc w:val="center"/>
            </w:pPr>
            <w:r w:rsidRPr="00D567F7">
              <w:t>43</w:t>
            </w:r>
          </w:p>
        </w:tc>
      </w:tr>
    </w:tbl>
    <w:p w:rsidR="00D567F7" w:rsidRPr="00D567F7" w:rsidRDefault="00D567F7" w:rsidP="00D567F7">
      <w:pPr>
        <w:pStyle w:val="ConsPlusNormal"/>
        <w:contextualSpacing/>
        <w:jc w:val="both"/>
      </w:pPr>
    </w:p>
    <w:p w:rsidR="00D567F7" w:rsidRPr="00D567F7" w:rsidRDefault="00D567F7" w:rsidP="00D567F7">
      <w:pPr>
        <w:pStyle w:val="ConsPlusNormal"/>
        <w:contextualSpacing/>
        <w:jc w:val="both"/>
      </w:pPr>
    </w:p>
    <w:p w:rsidR="00D567F7" w:rsidRPr="00D567F7" w:rsidRDefault="00D567F7" w:rsidP="00D567F7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sz w:val="2"/>
          <w:szCs w:val="2"/>
        </w:rPr>
      </w:pPr>
    </w:p>
    <w:p w:rsidR="00431D47" w:rsidRPr="00D567F7" w:rsidRDefault="00431D47" w:rsidP="00D567F7">
      <w:pPr>
        <w:contextualSpacing/>
      </w:pPr>
    </w:p>
    <w:sectPr w:rsidR="00431D47" w:rsidRPr="00D567F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F7"/>
    <w:rsid w:val="00431D47"/>
    <w:rsid w:val="00D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EA6E3-6055-48AE-A90D-0961AF26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7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67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567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567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567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567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67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67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2084</Words>
  <Characters>11881</Characters>
  <Application>Microsoft Office Word</Application>
  <DocSecurity>0</DocSecurity>
  <Lines>99</Lines>
  <Paragraphs>27</Paragraphs>
  <ScaleCrop>false</ScaleCrop>
  <Company/>
  <LinksUpToDate>false</LinksUpToDate>
  <CharactersWithSpaces>13938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2024-07-24T11:36:00Z</dcterms:created>
  <dcterms:modified xsi:type="dcterms:W3CDTF">2024-07-24T11:40:00Z</dcterms:modified>
</cp:coreProperties>
</file>